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D5CB" w14:textId="248EA1FF" w:rsidR="006C2D11" w:rsidRDefault="006C2D11">
      <w:pPr>
        <w:rPr>
          <w:sz w:val="24"/>
          <w:szCs w:val="24"/>
        </w:rPr>
      </w:pPr>
      <w:r>
        <w:rPr>
          <w:sz w:val="24"/>
          <w:szCs w:val="24"/>
        </w:rPr>
        <w:t>For additional information, contact Prof. Peter Adams (</w:t>
      </w:r>
      <w:hyperlink r:id="rId4" w:history="1">
        <w:r w:rsidRPr="003A4E40">
          <w:rPr>
            <w:rStyle w:val="Hyperlink"/>
            <w:sz w:val="24"/>
            <w:szCs w:val="24"/>
          </w:rPr>
          <w:t>peteradams@cmu.edu</w:t>
        </w:r>
      </w:hyperlink>
      <w:r>
        <w:rPr>
          <w:sz w:val="24"/>
          <w:szCs w:val="24"/>
        </w:rPr>
        <w:t>)</w:t>
      </w:r>
      <w:r w:rsidR="00E70799">
        <w:rPr>
          <w:sz w:val="24"/>
          <w:szCs w:val="24"/>
        </w:rPr>
        <w:t>.</w:t>
      </w:r>
    </w:p>
    <w:p w14:paraId="6E58ABCE" w14:textId="77777777" w:rsidR="006C2D11" w:rsidRDefault="006C2D11">
      <w:pPr>
        <w:rPr>
          <w:b/>
          <w:bCs/>
          <w:sz w:val="24"/>
          <w:szCs w:val="24"/>
        </w:rPr>
      </w:pPr>
    </w:p>
    <w:p w14:paraId="7DBE2893" w14:textId="200EAEE8" w:rsidR="00087F89" w:rsidRPr="00380537" w:rsidRDefault="00B9345C">
      <w:pPr>
        <w:rPr>
          <w:b/>
          <w:bCs/>
          <w:sz w:val="24"/>
          <w:szCs w:val="24"/>
        </w:rPr>
      </w:pPr>
      <w:r w:rsidRPr="00380537">
        <w:rPr>
          <w:b/>
          <w:bCs/>
          <w:sz w:val="24"/>
          <w:szCs w:val="24"/>
        </w:rPr>
        <w:t>Overview</w:t>
      </w:r>
    </w:p>
    <w:p w14:paraId="363AA584" w14:textId="1754845E" w:rsidR="00E80C4B" w:rsidRDefault="000E752E" w:rsidP="00C01D15">
      <w:pPr>
        <w:ind w:firstLine="720"/>
        <w:rPr>
          <w:sz w:val="24"/>
          <w:szCs w:val="24"/>
        </w:rPr>
      </w:pPr>
      <w:r>
        <w:rPr>
          <w:sz w:val="24"/>
          <w:szCs w:val="24"/>
        </w:rPr>
        <w:t>This dataset contains</w:t>
      </w:r>
      <w:r w:rsidR="00E80C4B">
        <w:rPr>
          <w:sz w:val="24"/>
          <w:szCs w:val="24"/>
        </w:rPr>
        <w:t xml:space="preserve"> source-resolved and speciated outdoor concentrations of PM</w:t>
      </w:r>
      <w:r w:rsidR="00E80C4B" w:rsidRPr="00614EF4">
        <w:rPr>
          <w:sz w:val="24"/>
          <w:szCs w:val="24"/>
          <w:vertAlign w:val="subscript"/>
        </w:rPr>
        <w:t>2.5</w:t>
      </w:r>
      <w:r w:rsidR="00E80C4B">
        <w:rPr>
          <w:sz w:val="24"/>
          <w:szCs w:val="24"/>
        </w:rPr>
        <w:t xml:space="preserve"> across the </w:t>
      </w:r>
      <w:r w:rsidR="00035462">
        <w:rPr>
          <w:sz w:val="24"/>
          <w:szCs w:val="24"/>
        </w:rPr>
        <w:t>contiguous</w:t>
      </w:r>
      <w:r w:rsidR="00E80C4B">
        <w:rPr>
          <w:sz w:val="24"/>
          <w:szCs w:val="24"/>
        </w:rPr>
        <w:t xml:space="preserve"> U.S. for 2001 and 2010</w:t>
      </w:r>
      <w:r>
        <w:rPr>
          <w:sz w:val="24"/>
          <w:szCs w:val="24"/>
        </w:rPr>
        <w:t xml:space="preserve"> (annually-averaged)</w:t>
      </w:r>
      <w:r w:rsidR="00E80C4B">
        <w:rPr>
          <w:sz w:val="24"/>
          <w:szCs w:val="24"/>
        </w:rPr>
        <w:t xml:space="preserve">. </w:t>
      </w:r>
      <w:r w:rsidR="00614EF4">
        <w:rPr>
          <w:sz w:val="24"/>
          <w:szCs w:val="24"/>
        </w:rPr>
        <w:t>We use geographically weighted regression to predict and then correct for the bias in PM</w:t>
      </w:r>
      <w:r w:rsidR="00614EF4" w:rsidRPr="00614EF4">
        <w:rPr>
          <w:sz w:val="24"/>
          <w:szCs w:val="24"/>
          <w:vertAlign w:val="subscript"/>
        </w:rPr>
        <w:t>2.5</w:t>
      </w:r>
      <w:r w:rsidR="00614EF4">
        <w:rPr>
          <w:sz w:val="24"/>
          <w:szCs w:val="24"/>
        </w:rPr>
        <w:t xml:space="preserve"> concentrations</w:t>
      </w:r>
      <w:r w:rsidR="00E80C4B">
        <w:rPr>
          <w:sz w:val="24"/>
          <w:szCs w:val="24"/>
        </w:rPr>
        <w:t xml:space="preserve"> </w:t>
      </w:r>
      <w:r w:rsidR="00035462">
        <w:rPr>
          <w:sz w:val="24"/>
          <w:szCs w:val="24"/>
        </w:rPr>
        <w:t xml:space="preserve">(Hernandez et al., 2021) </w:t>
      </w:r>
      <w:r w:rsidR="00E80C4B">
        <w:rPr>
          <w:sz w:val="24"/>
          <w:szCs w:val="24"/>
        </w:rPr>
        <w:t>originally simulated from an air quality model</w:t>
      </w:r>
      <w:r w:rsidR="00035462">
        <w:rPr>
          <w:sz w:val="24"/>
          <w:szCs w:val="24"/>
        </w:rPr>
        <w:t xml:space="preserve"> (Skyllakou et al., 2021)</w:t>
      </w:r>
      <w:r w:rsidR="00E80C4B">
        <w:rPr>
          <w:sz w:val="24"/>
          <w:szCs w:val="24"/>
        </w:rPr>
        <w:t xml:space="preserve">. </w:t>
      </w:r>
    </w:p>
    <w:p w14:paraId="477AD66B" w14:textId="5EA0E59E" w:rsidR="00E80C4B" w:rsidRDefault="00E80C4B" w:rsidP="00C01D15">
      <w:pPr>
        <w:ind w:firstLine="720"/>
        <w:rPr>
          <w:sz w:val="24"/>
          <w:szCs w:val="24"/>
        </w:rPr>
      </w:pPr>
      <w:r>
        <w:rPr>
          <w:sz w:val="24"/>
          <w:szCs w:val="24"/>
        </w:rPr>
        <w:t>Observations from speciate</w:t>
      </w:r>
      <w:r w:rsidR="00C74AAE">
        <w:rPr>
          <w:sz w:val="24"/>
          <w:szCs w:val="24"/>
        </w:rPr>
        <w:t>d</w:t>
      </w:r>
      <w:r>
        <w:rPr>
          <w:sz w:val="24"/>
          <w:szCs w:val="24"/>
        </w:rPr>
        <w:t xml:space="preserve"> ground-level monitors (IMPROVE and CSN) are used to correct simulated</w:t>
      </w:r>
      <w:r w:rsidR="00B8418D">
        <w:rPr>
          <w:sz w:val="24"/>
          <w:szCs w:val="24"/>
        </w:rPr>
        <w:t xml:space="preserve"> ammonium (NH</w:t>
      </w:r>
      <w:r w:rsidR="00B8418D" w:rsidRPr="00CF1E1C">
        <w:rPr>
          <w:sz w:val="24"/>
          <w:szCs w:val="24"/>
          <w:vertAlign w:val="subscript"/>
        </w:rPr>
        <w:t>4</w:t>
      </w:r>
      <w:r w:rsidR="00B8418D" w:rsidRPr="00CF1E1C">
        <w:rPr>
          <w:sz w:val="24"/>
          <w:szCs w:val="24"/>
          <w:vertAlign w:val="superscript"/>
        </w:rPr>
        <w:t>+</w:t>
      </w:r>
      <w:r w:rsidR="00B8418D">
        <w:rPr>
          <w:sz w:val="24"/>
          <w:szCs w:val="24"/>
        </w:rPr>
        <w:t>), nitrate (NO</w:t>
      </w:r>
      <w:r w:rsidR="00B8418D" w:rsidRPr="00CF1E1C">
        <w:rPr>
          <w:sz w:val="24"/>
          <w:szCs w:val="24"/>
          <w:vertAlign w:val="subscript"/>
        </w:rPr>
        <w:t>3</w:t>
      </w:r>
      <w:r w:rsidR="00B8418D" w:rsidRPr="00CF1E1C">
        <w:rPr>
          <w:sz w:val="24"/>
          <w:szCs w:val="24"/>
          <w:vertAlign w:val="superscript"/>
        </w:rPr>
        <w:t>-</w:t>
      </w:r>
      <w:r w:rsidR="00B8418D">
        <w:rPr>
          <w:sz w:val="24"/>
          <w:szCs w:val="24"/>
        </w:rPr>
        <w:t>), sulfate (SO</w:t>
      </w:r>
      <w:r w:rsidR="00B8418D" w:rsidRPr="00CF1E1C">
        <w:rPr>
          <w:sz w:val="24"/>
          <w:szCs w:val="24"/>
          <w:vertAlign w:val="subscript"/>
        </w:rPr>
        <w:t>4</w:t>
      </w:r>
      <w:r w:rsidR="00B8418D" w:rsidRPr="00CF1E1C">
        <w:rPr>
          <w:sz w:val="24"/>
          <w:szCs w:val="24"/>
          <w:vertAlign w:val="superscript"/>
        </w:rPr>
        <w:t>2-</w:t>
      </w:r>
      <w:r w:rsidR="00B8418D">
        <w:rPr>
          <w:sz w:val="24"/>
          <w:szCs w:val="24"/>
        </w:rPr>
        <w:t>)</w:t>
      </w:r>
      <w:r w:rsidR="00D02669">
        <w:rPr>
          <w:sz w:val="24"/>
          <w:szCs w:val="24"/>
        </w:rPr>
        <w:t xml:space="preserve"> elemental carbon (EC)</w:t>
      </w:r>
      <w:r w:rsidR="00B8418D">
        <w:rPr>
          <w:sz w:val="24"/>
          <w:szCs w:val="24"/>
        </w:rPr>
        <w:t xml:space="preserve"> and </w:t>
      </w:r>
      <w:r w:rsidR="00D02669">
        <w:rPr>
          <w:sz w:val="24"/>
          <w:szCs w:val="24"/>
        </w:rPr>
        <w:t>organic aerosol (OA). The primary and secondary fractions of OA, as predicted by the air quality model, are applied to corrected OA to estimate primary organic aerosol (OA) and secondary organic aerosol (SOA).</w:t>
      </w:r>
      <w:r w:rsidR="00C01D15">
        <w:rPr>
          <w:sz w:val="24"/>
          <w:szCs w:val="24"/>
        </w:rPr>
        <w:t xml:space="preserve"> </w:t>
      </w:r>
      <w:r w:rsidR="00C01D15" w:rsidRPr="00C01D15">
        <w:rPr>
          <w:sz w:val="24"/>
          <w:szCs w:val="24"/>
        </w:rPr>
        <w:t xml:space="preserve">The </w:t>
      </w:r>
      <w:r w:rsidR="000E752E">
        <w:rPr>
          <w:sz w:val="24"/>
          <w:szCs w:val="24"/>
        </w:rPr>
        <w:t xml:space="preserve">air quality </w:t>
      </w:r>
      <w:r w:rsidR="00C01D15" w:rsidRPr="00C01D15">
        <w:rPr>
          <w:sz w:val="24"/>
          <w:szCs w:val="24"/>
        </w:rPr>
        <w:t xml:space="preserve">model also predicts concentrations of sodium, chloride, and mineral dust, but these are excluded from this </w:t>
      </w:r>
      <w:r w:rsidR="000E752E">
        <w:rPr>
          <w:sz w:val="24"/>
          <w:szCs w:val="24"/>
        </w:rPr>
        <w:t>dataset</w:t>
      </w:r>
      <w:r w:rsidR="00C01D15" w:rsidRPr="00C01D15">
        <w:rPr>
          <w:sz w:val="24"/>
          <w:szCs w:val="24"/>
        </w:rPr>
        <w:t xml:space="preserve"> due to large uncertainty in the emissions inventory and because speciated monitors for these species are not readily available.</w:t>
      </w:r>
      <w:r w:rsidR="002B4583">
        <w:rPr>
          <w:sz w:val="24"/>
          <w:szCs w:val="24"/>
        </w:rPr>
        <w:t xml:space="preserve"> </w:t>
      </w:r>
      <w:r w:rsidR="00582497">
        <w:rPr>
          <w:sz w:val="24"/>
          <w:szCs w:val="24"/>
        </w:rPr>
        <w:t>N</w:t>
      </w:r>
      <w:r w:rsidR="002B4583">
        <w:rPr>
          <w:sz w:val="24"/>
          <w:szCs w:val="24"/>
        </w:rPr>
        <w:t>ote that total PM</w:t>
      </w:r>
      <w:r w:rsidR="002B4583" w:rsidRPr="002B4583">
        <w:rPr>
          <w:sz w:val="24"/>
          <w:szCs w:val="24"/>
          <w:vertAlign w:val="subscript"/>
        </w:rPr>
        <w:t>2.5</w:t>
      </w:r>
      <w:r w:rsidR="002B4583">
        <w:rPr>
          <w:sz w:val="24"/>
          <w:szCs w:val="24"/>
        </w:rPr>
        <w:t xml:space="preserve"> values provided in this dataset are the sum of</w:t>
      </w:r>
      <w:r w:rsidR="000E752E">
        <w:rPr>
          <w:sz w:val="24"/>
          <w:szCs w:val="24"/>
        </w:rPr>
        <w:t xml:space="preserve"> </w:t>
      </w:r>
      <w:r w:rsidR="002B4583">
        <w:rPr>
          <w:sz w:val="24"/>
          <w:szCs w:val="24"/>
        </w:rPr>
        <w:t>NH</w:t>
      </w:r>
      <w:r w:rsidR="002B4583" w:rsidRPr="002B4583">
        <w:rPr>
          <w:sz w:val="24"/>
          <w:szCs w:val="24"/>
          <w:vertAlign w:val="subscript"/>
        </w:rPr>
        <w:t>4</w:t>
      </w:r>
      <w:r w:rsidR="002B4583" w:rsidRPr="002B4583">
        <w:rPr>
          <w:sz w:val="24"/>
          <w:szCs w:val="24"/>
          <w:vertAlign w:val="superscript"/>
        </w:rPr>
        <w:t>+</w:t>
      </w:r>
      <w:r w:rsidR="002B4583">
        <w:rPr>
          <w:sz w:val="24"/>
          <w:szCs w:val="24"/>
        </w:rPr>
        <w:t>, NO</w:t>
      </w:r>
      <w:r w:rsidR="002B4583" w:rsidRPr="002B4583">
        <w:rPr>
          <w:sz w:val="24"/>
          <w:szCs w:val="24"/>
          <w:vertAlign w:val="subscript"/>
        </w:rPr>
        <w:t>3</w:t>
      </w:r>
      <w:r w:rsidR="002B4583" w:rsidRPr="002B4583">
        <w:rPr>
          <w:sz w:val="24"/>
          <w:szCs w:val="24"/>
          <w:vertAlign w:val="superscript"/>
        </w:rPr>
        <w:t>-</w:t>
      </w:r>
      <w:r w:rsidR="00B8418D">
        <w:rPr>
          <w:sz w:val="24"/>
          <w:szCs w:val="24"/>
        </w:rPr>
        <w:t>,</w:t>
      </w:r>
      <w:r w:rsidR="002B4583">
        <w:rPr>
          <w:sz w:val="24"/>
          <w:szCs w:val="24"/>
        </w:rPr>
        <w:t xml:space="preserve"> SO</w:t>
      </w:r>
      <w:r w:rsidR="002B4583" w:rsidRPr="002B4583">
        <w:rPr>
          <w:sz w:val="24"/>
          <w:szCs w:val="24"/>
          <w:vertAlign w:val="subscript"/>
        </w:rPr>
        <w:t>4</w:t>
      </w:r>
      <w:r w:rsidR="002B4583" w:rsidRPr="002B4583">
        <w:rPr>
          <w:sz w:val="24"/>
          <w:szCs w:val="24"/>
          <w:vertAlign w:val="superscript"/>
        </w:rPr>
        <w:t>2-</w:t>
      </w:r>
      <w:r w:rsidR="00B8418D">
        <w:rPr>
          <w:sz w:val="24"/>
          <w:szCs w:val="24"/>
        </w:rPr>
        <w:t>, EC and OA.</w:t>
      </w:r>
      <w:r w:rsidR="00B17F66">
        <w:rPr>
          <w:sz w:val="24"/>
          <w:szCs w:val="24"/>
        </w:rPr>
        <w:t xml:space="preserve"> To account for concentrations of sodium, chloride, and mineral dust, we recommend </w:t>
      </w:r>
      <w:r w:rsidR="001D1175">
        <w:rPr>
          <w:sz w:val="24"/>
          <w:szCs w:val="24"/>
        </w:rPr>
        <w:t xml:space="preserve">uniformly </w:t>
      </w:r>
      <w:r w:rsidR="00B17F66">
        <w:rPr>
          <w:sz w:val="24"/>
          <w:szCs w:val="24"/>
        </w:rPr>
        <w:t xml:space="preserve">adding 2 and 1.5 </w:t>
      </w:r>
      <w:r w:rsidR="001D1175" w:rsidRPr="001E646E">
        <w:rPr>
          <w:rFonts w:cstheme="minorHAnsi"/>
          <w:sz w:val="24"/>
          <w:szCs w:val="24"/>
        </w:rPr>
        <w:t>μ</w:t>
      </w:r>
      <w:r w:rsidR="001D1175" w:rsidRPr="001E646E">
        <w:rPr>
          <w:sz w:val="24"/>
          <w:szCs w:val="24"/>
        </w:rPr>
        <w:t>g/m</w:t>
      </w:r>
      <w:r w:rsidR="001D1175" w:rsidRPr="001E646E">
        <w:rPr>
          <w:sz w:val="24"/>
          <w:szCs w:val="24"/>
          <w:vertAlign w:val="superscript"/>
        </w:rPr>
        <w:t>3</w:t>
      </w:r>
      <w:r w:rsidR="00B17F66">
        <w:rPr>
          <w:sz w:val="24"/>
          <w:szCs w:val="24"/>
        </w:rPr>
        <w:t xml:space="preserve"> to the total PM</w:t>
      </w:r>
      <w:r w:rsidR="00B17F66" w:rsidRPr="001D1175">
        <w:rPr>
          <w:sz w:val="24"/>
          <w:szCs w:val="24"/>
          <w:vertAlign w:val="subscript"/>
        </w:rPr>
        <w:t xml:space="preserve">2.5 </w:t>
      </w:r>
      <w:r w:rsidR="00110A67" w:rsidRPr="00110A67">
        <w:rPr>
          <w:sz w:val="24"/>
          <w:szCs w:val="24"/>
        </w:rPr>
        <w:t xml:space="preserve">concentrations </w:t>
      </w:r>
      <w:r w:rsidR="00B17F66">
        <w:rPr>
          <w:sz w:val="24"/>
          <w:szCs w:val="24"/>
        </w:rPr>
        <w:t xml:space="preserve">for </w:t>
      </w:r>
      <w:r w:rsidR="001D1175">
        <w:rPr>
          <w:sz w:val="24"/>
          <w:szCs w:val="24"/>
        </w:rPr>
        <w:t>2001 and 2010, respectively.</w:t>
      </w:r>
    </w:p>
    <w:p w14:paraId="2A44CAEA" w14:textId="0597AC3D" w:rsidR="00F47D26" w:rsidRDefault="00614EF4" w:rsidP="00C01D15">
      <w:pPr>
        <w:ind w:firstLine="720"/>
        <w:rPr>
          <w:sz w:val="24"/>
          <w:szCs w:val="24"/>
        </w:rPr>
      </w:pPr>
      <w:r>
        <w:rPr>
          <w:sz w:val="24"/>
          <w:szCs w:val="24"/>
        </w:rPr>
        <w:t xml:space="preserve">The underlying </w:t>
      </w:r>
      <w:r w:rsidR="00E80C4B">
        <w:rPr>
          <w:sz w:val="24"/>
          <w:szCs w:val="24"/>
        </w:rPr>
        <w:t xml:space="preserve">air quality model </w:t>
      </w:r>
      <w:r>
        <w:rPr>
          <w:sz w:val="24"/>
          <w:szCs w:val="24"/>
        </w:rPr>
        <w:t>simulations</w:t>
      </w:r>
      <w:r w:rsidR="00E80C4B">
        <w:rPr>
          <w:sz w:val="24"/>
          <w:szCs w:val="24"/>
        </w:rPr>
        <w:t xml:space="preserve"> use</w:t>
      </w:r>
      <w:r>
        <w:rPr>
          <w:sz w:val="24"/>
          <w:szCs w:val="24"/>
        </w:rPr>
        <w:t xml:space="preserve"> a source apportionment </w:t>
      </w:r>
      <w:r w:rsidR="00F17F51">
        <w:rPr>
          <w:sz w:val="24"/>
          <w:szCs w:val="24"/>
        </w:rPr>
        <w:t>module</w:t>
      </w:r>
      <w:r w:rsidR="00E80C4B">
        <w:rPr>
          <w:sz w:val="24"/>
          <w:szCs w:val="24"/>
        </w:rPr>
        <w:t xml:space="preserve"> to </w:t>
      </w:r>
      <w:r>
        <w:rPr>
          <w:sz w:val="24"/>
          <w:szCs w:val="24"/>
        </w:rPr>
        <w:t>attribute</w:t>
      </w:r>
      <w:r w:rsidR="00E80C4B">
        <w:rPr>
          <w:sz w:val="24"/>
          <w:szCs w:val="24"/>
        </w:rPr>
        <w:t xml:space="preserve"> PM</w:t>
      </w:r>
      <w:r w:rsidR="00E80C4B" w:rsidRPr="00614EF4">
        <w:rPr>
          <w:sz w:val="24"/>
          <w:szCs w:val="24"/>
          <w:vertAlign w:val="subscript"/>
        </w:rPr>
        <w:t>2.5</w:t>
      </w:r>
      <w:r w:rsidR="00E80C4B">
        <w:rPr>
          <w:sz w:val="24"/>
          <w:szCs w:val="24"/>
        </w:rPr>
        <w:t xml:space="preserve"> concentrations to six source categories: </w:t>
      </w:r>
      <w:r>
        <w:rPr>
          <w:sz w:val="24"/>
          <w:szCs w:val="24"/>
        </w:rPr>
        <w:t xml:space="preserve"> </w:t>
      </w:r>
      <w:r w:rsidR="00E80C4B" w:rsidRPr="00E80C4B">
        <w:rPr>
          <w:sz w:val="24"/>
          <w:szCs w:val="24"/>
        </w:rPr>
        <w:t>electricity-generating units (EGUs; includes all emissions in EPA’s Integrated Planning Model), non-EGU (all other industrial point sources), on-road mobile, off-road mobile, biogenic (i.e., vegetation), and “other” which includes on-road emissions from Canada and Mexico plus all other emissions</w:t>
      </w:r>
      <w:r w:rsidR="00582497">
        <w:rPr>
          <w:sz w:val="24"/>
          <w:szCs w:val="24"/>
        </w:rPr>
        <w:t xml:space="preserve"> (e.g., biomass burning, cooking, agriculture, etc.)</w:t>
      </w:r>
      <w:r w:rsidR="00E80C4B" w:rsidRPr="00E80C4B">
        <w:rPr>
          <w:sz w:val="24"/>
          <w:szCs w:val="24"/>
        </w:rPr>
        <w:t xml:space="preserve">. </w:t>
      </w:r>
      <w:r w:rsidR="00E80C4B">
        <w:rPr>
          <w:sz w:val="24"/>
          <w:szCs w:val="24"/>
        </w:rPr>
        <w:t>PM</w:t>
      </w:r>
      <w:r w:rsidR="00E80C4B" w:rsidRPr="00614EF4">
        <w:rPr>
          <w:sz w:val="24"/>
          <w:szCs w:val="24"/>
          <w:vertAlign w:val="subscript"/>
        </w:rPr>
        <w:t>2.5</w:t>
      </w:r>
      <w:r w:rsidR="00E80C4B" w:rsidRPr="00E80C4B">
        <w:rPr>
          <w:sz w:val="24"/>
          <w:szCs w:val="24"/>
        </w:rPr>
        <w:t xml:space="preserve"> concentrations attributed to the model’s boundary and initial conditions are also tracked as separate categories</w:t>
      </w:r>
      <w:r w:rsidR="00582497">
        <w:rPr>
          <w:sz w:val="24"/>
          <w:szCs w:val="24"/>
        </w:rPr>
        <w:t>, but not made explicitly available in this dataset</w:t>
      </w:r>
      <w:r w:rsidR="00E80C4B" w:rsidRPr="00E80C4B">
        <w:rPr>
          <w:sz w:val="24"/>
          <w:szCs w:val="24"/>
        </w:rPr>
        <w:t>.</w:t>
      </w:r>
      <w:r w:rsidR="00D02669">
        <w:rPr>
          <w:sz w:val="24"/>
          <w:szCs w:val="24"/>
        </w:rPr>
        <w:t xml:space="preserve"> The original source fraction</w:t>
      </w:r>
      <w:r w:rsidR="00582497">
        <w:rPr>
          <w:sz w:val="24"/>
          <w:szCs w:val="24"/>
        </w:rPr>
        <w:t>s</w:t>
      </w:r>
      <w:r w:rsidR="00D02669">
        <w:rPr>
          <w:sz w:val="24"/>
          <w:szCs w:val="24"/>
        </w:rPr>
        <w:t>, as predicted by the air quality model, are applied to corrected estimates of all PM</w:t>
      </w:r>
      <w:r w:rsidR="00D02669" w:rsidRPr="00614EF4">
        <w:rPr>
          <w:sz w:val="24"/>
          <w:szCs w:val="24"/>
          <w:vertAlign w:val="subscript"/>
        </w:rPr>
        <w:t>2.5</w:t>
      </w:r>
      <w:r w:rsidR="00D02669">
        <w:rPr>
          <w:sz w:val="24"/>
          <w:szCs w:val="24"/>
        </w:rPr>
        <w:t xml:space="preserve"> chemical components.</w:t>
      </w:r>
      <w:r w:rsidR="00582497">
        <w:rPr>
          <w:sz w:val="24"/>
          <w:szCs w:val="24"/>
        </w:rPr>
        <w:t xml:space="preserve"> Note that total source values provided in this dataset are the sum of EGU, </w:t>
      </w:r>
      <w:proofErr w:type="spellStart"/>
      <w:r w:rsidR="00582497">
        <w:rPr>
          <w:sz w:val="24"/>
          <w:szCs w:val="24"/>
        </w:rPr>
        <w:t>nonEGU</w:t>
      </w:r>
      <w:proofErr w:type="spellEnd"/>
      <w:r w:rsidR="00582497">
        <w:rPr>
          <w:sz w:val="24"/>
          <w:szCs w:val="24"/>
        </w:rPr>
        <w:t>, on-road, off-road, biogenic, other, and contributions from initial/boundary conditions.</w:t>
      </w:r>
    </w:p>
    <w:p w14:paraId="07A514E9" w14:textId="39CD4619" w:rsidR="0007649C" w:rsidRPr="003564B0" w:rsidRDefault="004D475C" w:rsidP="003564B0">
      <w:pPr>
        <w:ind w:firstLine="720"/>
        <w:rPr>
          <w:sz w:val="24"/>
          <w:szCs w:val="24"/>
        </w:rPr>
      </w:pPr>
      <w:r>
        <w:rPr>
          <w:sz w:val="24"/>
          <w:szCs w:val="24"/>
        </w:rPr>
        <w:t xml:space="preserve">The </w:t>
      </w:r>
      <w:r w:rsidR="000D420E">
        <w:rPr>
          <w:sz w:val="24"/>
          <w:szCs w:val="24"/>
        </w:rPr>
        <w:t>PM</w:t>
      </w:r>
      <w:r w:rsidR="000D420E" w:rsidRPr="00614EF4">
        <w:rPr>
          <w:sz w:val="24"/>
          <w:szCs w:val="24"/>
          <w:vertAlign w:val="subscript"/>
        </w:rPr>
        <w:t>2.5</w:t>
      </w:r>
      <w:r>
        <w:rPr>
          <w:sz w:val="24"/>
          <w:szCs w:val="24"/>
        </w:rPr>
        <w:t xml:space="preserve"> estimates are originally simulated in </w:t>
      </w:r>
      <w:r w:rsidR="000D420E">
        <w:rPr>
          <w:sz w:val="24"/>
          <w:szCs w:val="24"/>
        </w:rPr>
        <w:t>grid</w:t>
      </w:r>
      <w:r w:rsidR="00824A23">
        <w:rPr>
          <w:sz w:val="24"/>
          <w:szCs w:val="24"/>
        </w:rPr>
        <w:t>s</w:t>
      </w:r>
      <w:r w:rsidR="000D420E">
        <w:rPr>
          <w:sz w:val="24"/>
          <w:szCs w:val="24"/>
        </w:rPr>
        <w:t xml:space="preserve"> with</w:t>
      </w:r>
      <w:r w:rsidR="00824A23">
        <w:rPr>
          <w:sz w:val="24"/>
          <w:szCs w:val="24"/>
        </w:rPr>
        <w:t xml:space="preserve"> a</w:t>
      </w:r>
      <w:r w:rsidR="000D420E">
        <w:rPr>
          <w:sz w:val="24"/>
          <w:szCs w:val="24"/>
        </w:rPr>
        <w:t xml:space="preserve"> 36 km horizontal resolution.</w:t>
      </w:r>
      <w:r w:rsidR="00193508">
        <w:rPr>
          <w:sz w:val="24"/>
          <w:szCs w:val="24"/>
        </w:rPr>
        <w:t xml:space="preserve"> </w:t>
      </w:r>
      <w:r w:rsidR="00C01D15">
        <w:rPr>
          <w:sz w:val="24"/>
          <w:szCs w:val="24"/>
        </w:rPr>
        <w:t>However, b</w:t>
      </w:r>
      <w:r w:rsidR="0046585C">
        <w:rPr>
          <w:sz w:val="24"/>
          <w:szCs w:val="24"/>
        </w:rPr>
        <w:t xml:space="preserve">ias corrections are performed </w:t>
      </w:r>
      <w:r w:rsidR="00193508">
        <w:rPr>
          <w:sz w:val="24"/>
          <w:szCs w:val="24"/>
        </w:rPr>
        <w:t xml:space="preserve">at </w:t>
      </w:r>
      <w:r w:rsidR="0046585C">
        <w:rPr>
          <w:sz w:val="24"/>
          <w:szCs w:val="24"/>
        </w:rPr>
        <w:t>census tract centroids</w:t>
      </w:r>
      <w:r w:rsidR="00193508">
        <w:rPr>
          <w:sz w:val="24"/>
          <w:szCs w:val="24"/>
        </w:rPr>
        <w:t xml:space="preserve"> for 2010 census geographies.</w:t>
      </w:r>
      <w:r w:rsidR="00824A23">
        <w:rPr>
          <w:sz w:val="24"/>
          <w:szCs w:val="24"/>
        </w:rPr>
        <w:t xml:space="preserve"> Data is made available in its native resolution (tract level), as well as population-weighted averages at the county, state and national level.</w:t>
      </w:r>
      <w:r w:rsidR="00582497">
        <w:rPr>
          <w:sz w:val="24"/>
          <w:szCs w:val="24"/>
        </w:rPr>
        <w:t xml:space="preserve"> </w:t>
      </w:r>
      <w:r w:rsidR="00BC434B">
        <w:rPr>
          <w:sz w:val="24"/>
          <w:szCs w:val="24"/>
        </w:rPr>
        <w:t>However, n</w:t>
      </w:r>
      <w:r w:rsidR="00582497">
        <w:rPr>
          <w:sz w:val="24"/>
          <w:szCs w:val="24"/>
        </w:rPr>
        <w:t>ote tha</w:t>
      </w:r>
      <w:r w:rsidR="00E34853">
        <w:rPr>
          <w:sz w:val="24"/>
          <w:szCs w:val="24"/>
        </w:rPr>
        <w:t>t some sharp concentration gradients may exist at the tract level estimates. This is a consequence of the coarser resolution used in the original air quality model simulations</w:t>
      </w:r>
      <w:r w:rsidR="000E752E">
        <w:rPr>
          <w:sz w:val="24"/>
          <w:szCs w:val="24"/>
        </w:rPr>
        <w:t>, and impacts tracts near the borders of the air quality model’s grid cells</w:t>
      </w:r>
      <w:r w:rsidR="00E34853">
        <w:rPr>
          <w:sz w:val="24"/>
          <w:szCs w:val="24"/>
        </w:rPr>
        <w:t>. Therefore, we recommend the population-weighted county level estimates for most users.</w:t>
      </w:r>
      <w:r w:rsidR="0007649C">
        <w:rPr>
          <w:b/>
          <w:bCs/>
          <w:sz w:val="24"/>
          <w:szCs w:val="24"/>
        </w:rPr>
        <w:br w:type="page"/>
      </w:r>
    </w:p>
    <w:p w14:paraId="6CC3F700" w14:textId="6E63D9BD" w:rsidR="00B9345C" w:rsidRPr="00380537" w:rsidRDefault="00B9345C">
      <w:pPr>
        <w:rPr>
          <w:sz w:val="24"/>
          <w:szCs w:val="24"/>
        </w:rPr>
      </w:pPr>
      <w:r w:rsidRPr="00380537">
        <w:rPr>
          <w:b/>
          <w:bCs/>
          <w:sz w:val="24"/>
          <w:szCs w:val="24"/>
        </w:rPr>
        <w:lastRenderedPageBreak/>
        <w:t>File</w:t>
      </w:r>
      <w:r w:rsidRPr="00380537">
        <w:rPr>
          <w:sz w:val="24"/>
          <w:szCs w:val="24"/>
        </w:rPr>
        <w:t xml:space="preserve"> </w:t>
      </w:r>
      <w:r w:rsidRPr="00380537">
        <w:rPr>
          <w:b/>
          <w:bCs/>
          <w:sz w:val="24"/>
          <w:szCs w:val="24"/>
        </w:rPr>
        <w:t>Format</w:t>
      </w:r>
    </w:p>
    <w:tbl>
      <w:tblPr>
        <w:tblStyle w:val="ListTable6Colorful"/>
        <w:tblW w:w="9695" w:type="dxa"/>
        <w:tblLook w:val="04A0" w:firstRow="1" w:lastRow="0" w:firstColumn="1" w:lastColumn="0" w:noHBand="0" w:noVBand="1"/>
      </w:tblPr>
      <w:tblGrid>
        <w:gridCol w:w="1954"/>
        <w:gridCol w:w="7741"/>
      </w:tblGrid>
      <w:tr w:rsidR="00D77E99" w:rsidRPr="00380537" w14:paraId="52FFF51B" w14:textId="77777777" w:rsidTr="0088290A">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4" w:type="dxa"/>
          </w:tcPr>
          <w:p w14:paraId="63DFAE47" w14:textId="5DB57B03" w:rsidR="00D77E99" w:rsidRPr="001E646E" w:rsidRDefault="00D77E99">
            <w:pPr>
              <w:rPr>
                <w:b w:val="0"/>
                <w:bCs w:val="0"/>
                <w:sz w:val="24"/>
                <w:szCs w:val="24"/>
              </w:rPr>
            </w:pPr>
            <w:r w:rsidRPr="001E646E">
              <w:rPr>
                <w:b w:val="0"/>
                <w:bCs w:val="0"/>
                <w:sz w:val="24"/>
                <w:szCs w:val="24"/>
              </w:rPr>
              <w:t>Parameter</w:t>
            </w:r>
          </w:p>
        </w:tc>
        <w:tc>
          <w:tcPr>
            <w:tcW w:w="7741" w:type="dxa"/>
          </w:tcPr>
          <w:p w14:paraId="172DCC36" w14:textId="0197EB4E" w:rsidR="00D77E99" w:rsidRPr="001E646E" w:rsidRDefault="00D77E99">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1E646E">
              <w:rPr>
                <w:b w:val="0"/>
                <w:bCs w:val="0"/>
                <w:sz w:val="24"/>
                <w:szCs w:val="24"/>
              </w:rPr>
              <w:t>Description</w:t>
            </w:r>
          </w:p>
        </w:tc>
      </w:tr>
      <w:tr w:rsidR="00035462" w:rsidRPr="00380537" w14:paraId="428FF899" w14:textId="77777777" w:rsidTr="0088290A">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954" w:type="dxa"/>
          </w:tcPr>
          <w:p w14:paraId="4E3C4C7B" w14:textId="3FD18216" w:rsidR="00035462" w:rsidRPr="00035462" w:rsidRDefault="00035462">
            <w:pPr>
              <w:rPr>
                <w:b w:val="0"/>
                <w:bCs w:val="0"/>
                <w:sz w:val="24"/>
                <w:szCs w:val="24"/>
              </w:rPr>
            </w:pPr>
            <w:r>
              <w:rPr>
                <w:b w:val="0"/>
                <w:bCs w:val="0"/>
                <w:sz w:val="24"/>
                <w:szCs w:val="24"/>
              </w:rPr>
              <w:t>year</w:t>
            </w:r>
          </w:p>
        </w:tc>
        <w:tc>
          <w:tcPr>
            <w:tcW w:w="7741" w:type="dxa"/>
          </w:tcPr>
          <w:p w14:paraId="7A4EF813" w14:textId="211BC166" w:rsidR="00035462" w:rsidRPr="001E646E" w:rsidRDefault="0003546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Prediction year for a given data point (2001 or 2010)</w:t>
            </w:r>
          </w:p>
        </w:tc>
      </w:tr>
      <w:tr w:rsidR="00035462" w:rsidRPr="00380537" w14:paraId="633E14FC" w14:textId="77777777" w:rsidTr="0088290A">
        <w:trPr>
          <w:trHeight w:val="676"/>
        </w:trPr>
        <w:tc>
          <w:tcPr>
            <w:cnfStyle w:val="001000000000" w:firstRow="0" w:lastRow="0" w:firstColumn="1" w:lastColumn="0" w:oddVBand="0" w:evenVBand="0" w:oddHBand="0" w:evenHBand="0" w:firstRowFirstColumn="0" w:firstRowLastColumn="0" w:lastRowFirstColumn="0" w:lastRowLastColumn="0"/>
            <w:tcW w:w="1954" w:type="dxa"/>
          </w:tcPr>
          <w:p w14:paraId="406ADD35" w14:textId="61E0D6B9" w:rsidR="00035462" w:rsidRPr="001E646E" w:rsidRDefault="00035462">
            <w:pPr>
              <w:rPr>
                <w:b w:val="0"/>
                <w:bCs w:val="0"/>
                <w:sz w:val="24"/>
                <w:szCs w:val="24"/>
              </w:rPr>
            </w:pPr>
            <w:r w:rsidRPr="001E646E">
              <w:rPr>
                <w:b w:val="0"/>
                <w:bCs w:val="0"/>
                <w:sz w:val="24"/>
                <w:szCs w:val="24"/>
              </w:rPr>
              <w:t>pollutant</w:t>
            </w:r>
          </w:p>
        </w:tc>
        <w:tc>
          <w:tcPr>
            <w:tcW w:w="7741" w:type="dxa"/>
          </w:tcPr>
          <w:p w14:paraId="5EB51045" w14:textId="5D637A23" w:rsidR="00035462" w:rsidRPr="001E646E" w:rsidRDefault="0003546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Pollutant</w:t>
            </w:r>
            <w:r w:rsidRPr="001E646E">
              <w:rPr>
                <w:sz w:val="24"/>
                <w:szCs w:val="24"/>
              </w:rPr>
              <w:t xml:space="preserve"> for a given </w:t>
            </w:r>
            <w:r>
              <w:rPr>
                <w:sz w:val="24"/>
                <w:szCs w:val="24"/>
              </w:rPr>
              <w:t>data point</w:t>
            </w:r>
            <w:r w:rsidRPr="001E646E">
              <w:rPr>
                <w:sz w:val="24"/>
                <w:szCs w:val="24"/>
              </w:rPr>
              <w:t xml:space="preserve"> (NH</w:t>
            </w:r>
            <w:r w:rsidRPr="0088290A">
              <w:rPr>
                <w:sz w:val="24"/>
                <w:szCs w:val="24"/>
                <w:vertAlign w:val="subscript"/>
              </w:rPr>
              <w:t>4</w:t>
            </w:r>
            <w:r w:rsidRPr="0088290A">
              <w:rPr>
                <w:sz w:val="24"/>
                <w:szCs w:val="24"/>
                <w:vertAlign w:val="superscript"/>
              </w:rPr>
              <w:t>+</w:t>
            </w:r>
            <w:r w:rsidRPr="001E646E">
              <w:rPr>
                <w:sz w:val="24"/>
                <w:szCs w:val="24"/>
              </w:rPr>
              <w:t>, NO</w:t>
            </w:r>
            <w:r w:rsidRPr="0088290A">
              <w:rPr>
                <w:sz w:val="24"/>
                <w:szCs w:val="24"/>
                <w:vertAlign w:val="subscript"/>
              </w:rPr>
              <w:t>3</w:t>
            </w:r>
            <w:r w:rsidRPr="0088290A">
              <w:rPr>
                <w:sz w:val="24"/>
                <w:szCs w:val="24"/>
                <w:vertAlign w:val="superscript"/>
              </w:rPr>
              <w:t>-</w:t>
            </w:r>
            <w:r w:rsidRPr="001E646E">
              <w:rPr>
                <w:sz w:val="24"/>
                <w:szCs w:val="24"/>
              </w:rPr>
              <w:t>, SO</w:t>
            </w:r>
            <w:r w:rsidRPr="0088290A">
              <w:rPr>
                <w:sz w:val="24"/>
                <w:szCs w:val="24"/>
                <w:vertAlign w:val="subscript"/>
              </w:rPr>
              <w:t>4</w:t>
            </w:r>
            <w:r w:rsidRPr="0088290A">
              <w:rPr>
                <w:sz w:val="24"/>
                <w:szCs w:val="24"/>
                <w:vertAlign w:val="superscript"/>
              </w:rPr>
              <w:t>2-</w:t>
            </w:r>
            <w:r w:rsidRPr="001E646E">
              <w:rPr>
                <w:sz w:val="24"/>
                <w:szCs w:val="24"/>
              </w:rPr>
              <w:t>,</w:t>
            </w:r>
            <w:r w:rsidR="00B8418D">
              <w:rPr>
                <w:sz w:val="24"/>
                <w:szCs w:val="24"/>
              </w:rPr>
              <w:t xml:space="preserve"> EC, OA,</w:t>
            </w:r>
            <w:r w:rsidRPr="001E646E">
              <w:rPr>
                <w:sz w:val="24"/>
                <w:szCs w:val="24"/>
              </w:rPr>
              <w:t xml:space="preserve"> POA</w:t>
            </w:r>
            <w:r>
              <w:rPr>
                <w:sz w:val="24"/>
                <w:szCs w:val="24"/>
              </w:rPr>
              <w:t>,</w:t>
            </w:r>
            <w:r w:rsidRPr="001E646E">
              <w:rPr>
                <w:sz w:val="24"/>
                <w:szCs w:val="24"/>
              </w:rPr>
              <w:t xml:space="preserve"> SOA</w:t>
            </w:r>
            <w:r w:rsidR="00B8418D">
              <w:rPr>
                <w:sz w:val="24"/>
                <w:szCs w:val="24"/>
              </w:rPr>
              <w:t xml:space="preserve"> </w:t>
            </w:r>
            <w:r>
              <w:rPr>
                <w:sz w:val="24"/>
                <w:szCs w:val="24"/>
              </w:rPr>
              <w:t>&amp; total PM</w:t>
            </w:r>
            <w:r w:rsidRPr="00035462">
              <w:rPr>
                <w:sz w:val="24"/>
                <w:szCs w:val="24"/>
                <w:vertAlign w:val="subscript"/>
              </w:rPr>
              <w:t>2.5</w:t>
            </w:r>
            <w:r w:rsidRPr="001E646E">
              <w:rPr>
                <w:sz w:val="24"/>
                <w:szCs w:val="24"/>
              </w:rPr>
              <w:t>)</w:t>
            </w:r>
          </w:p>
        </w:tc>
      </w:tr>
      <w:tr w:rsidR="00035462" w:rsidRPr="00380537" w14:paraId="4A347679" w14:textId="77777777" w:rsidTr="0088290A">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954" w:type="dxa"/>
          </w:tcPr>
          <w:p w14:paraId="5FB7F34B" w14:textId="4E93BDDA" w:rsidR="00035462" w:rsidRPr="001E646E" w:rsidRDefault="00035462">
            <w:pPr>
              <w:rPr>
                <w:b w:val="0"/>
                <w:bCs w:val="0"/>
                <w:sz w:val="24"/>
                <w:szCs w:val="24"/>
              </w:rPr>
            </w:pPr>
            <w:proofErr w:type="spellStart"/>
            <w:r w:rsidRPr="001E646E">
              <w:rPr>
                <w:b w:val="0"/>
                <w:bCs w:val="0"/>
                <w:sz w:val="24"/>
                <w:szCs w:val="24"/>
              </w:rPr>
              <w:t>fips</w:t>
            </w:r>
            <w:proofErr w:type="spellEnd"/>
          </w:p>
        </w:tc>
        <w:tc>
          <w:tcPr>
            <w:tcW w:w="7741" w:type="dxa"/>
          </w:tcPr>
          <w:p w14:paraId="03064AA5" w14:textId="77777777" w:rsidR="00035462" w:rsidRPr="001E646E" w:rsidRDefault="00035462" w:rsidP="00035462">
            <w:pPr>
              <w:cnfStyle w:val="000000100000" w:firstRow="0" w:lastRow="0" w:firstColumn="0" w:lastColumn="0" w:oddVBand="0" w:evenVBand="0" w:oddHBand="1" w:evenHBand="0" w:firstRowFirstColumn="0" w:firstRowLastColumn="0" w:lastRowFirstColumn="0" w:lastRowLastColumn="0"/>
              <w:rPr>
                <w:sz w:val="24"/>
                <w:szCs w:val="24"/>
              </w:rPr>
            </w:pPr>
            <w:r w:rsidRPr="001E646E">
              <w:rPr>
                <w:sz w:val="24"/>
                <w:szCs w:val="24"/>
              </w:rPr>
              <w:t>Unique code for geographic unit with the following structure: SSCCCTTTTTT</w:t>
            </w:r>
          </w:p>
          <w:p w14:paraId="2EFD65BB" w14:textId="236A5124" w:rsidR="00035462" w:rsidRPr="001E646E" w:rsidRDefault="00035462">
            <w:pPr>
              <w:cnfStyle w:val="000000100000" w:firstRow="0" w:lastRow="0" w:firstColumn="0" w:lastColumn="0" w:oddVBand="0" w:evenVBand="0" w:oddHBand="1" w:evenHBand="0" w:firstRowFirstColumn="0" w:firstRowLastColumn="0" w:lastRowFirstColumn="0" w:lastRowLastColumn="0"/>
              <w:rPr>
                <w:sz w:val="24"/>
                <w:szCs w:val="24"/>
              </w:rPr>
            </w:pPr>
            <w:r w:rsidRPr="001E646E">
              <w:rPr>
                <w:sz w:val="24"/>
                <w:szCs w:val="24"/>
              </w:rPr>
              <w:t>(S = 1–2-digit state code; C = 3-digit county code; T = 6-digit tract code)</w:t>
            </w:r>
          </w:p>
        </w:tc>
      </w:tr>
      <w:tr w:rsidR="00035462" w:rsidRPr="00380537" w14:paraId="6FDEC84B" w14:textId="77777777" w:rsidTr="0088290A">
        <w:trPr>
          <w:trHeight w:val="413"/>
        </w:trPr>
        <w:tc>
          <w:tcPr>
            <w:cnfStyle w:val="001000000000" w:firstRow="0" w:lastRow="0" w:firstColumn="1" w:lastColumn="0" w:oddVBand="0" w:evenVBand="0" w:oddHBand="0" w:evenHBand="0" w:firstRowFirstColumn="0" w:firstRowLastColumn="0" w:lastRowFirstColumn="0" w:lastRowLastColumn="0"/>
            <w:tcW w:w="1954" w:type="dxa"/>
          </w:tcPr>
          <w:p w14:paraId="59B1DAFE" w14:textId="6117815F" w:rsidR="00035462" w:rsidRPr="001E646E" w:rsidRDefault="00035462" w:rsidP="00035462">
            <w:pPr>
              <w:rPr>
                <w:b w:val="0"/>
                <w:bCs w:val="0"/>
                <w:sz w:val="24"/>
                <w:szCs w:val="24"/>
              </w:rPr>
            </w:pPr>
            <w:r w:rsidRPr="001E646E">
              <w:rPr>
                <w:b w:val="0"/>
                <w:bCs w:val="0"/>
                <w:sz w:val="24"/>
                <w:szCs w:val="24"/>
              </w:rPr>
              <w:t>source</w:t>
            </w:r>
          </w:p>
        </w:tc>
        <w:tc>
          <w:tcPr>
            <w:tcW w:w="7741" w:type="dxa"/>
          </w:tcPr>
          <w:p w14:paraId="172B36B7" w14:textId="7D0BB12A" w:rsidR="00035462" w:rsidRPr="001E646E" w:rsidRDefault="00035462" w:rsidP="00035462">
            <w:pPr>
              <w:cnfStyle w:val="000000000000" w:firstRow="0" w:lastRow="0" w:firstColumn="0" w:lastColumn="0" w:oddVBand="0" w:evenVBand="0" w:oddHBand="0" w:evenHBand="0" w:firstRowFirstColumn="0" w:firstRowLastColumn="0" w:lastRowFirstColumn="0" w:lastRowLastColumn="0"/>
              <w:rPr>
                <w:sz w:val="24"/>
                <w:szCs w:val="24"/>
              </w:rPr>
            </w:pPr>
            <w:r w:rsidRPr="001E646E">
              <w:rPr>
                <w:sz w:val="24"/>
                <w:szCs w:val="24"/>
              </w:rPr>
              <w:t xml:space="preserve">Source for a given </w:t>
            </w:r>
            <w:r>
              <w:rPr>
                <w:sz w:val="24"/>
                <w:szCs w:val="24"/>
              </w:rPr>
              <w:t>data point</w:t>
            </w:r>
            <w:r w:rsidRPr="001E646E">
              <w:rPr>
                <w:sz w:val="24"/>
                <w:szCs w:val="24"/>
              </w:rPr>
              <w:t xml:space="preserve"> (EGU, </w:t>
            </w:r>
            <w:proofErr w:type="spellStart"/>
            <w:r w:rsidRPr="001E646E">
              <w:rPr>
                <w:sz w:val="24"/>
                <w:szCs w:val="24"/>
              </w:rPr>
              <w:t>nonEGU</w:t>
            </w:r>
            <w:proofErr w:type="spellEnd"/>
            <w:r w:rsidRPr="001E646E">
              <w:rPr>
                <w:sz w:val="24"/>
                <w:szCs w:val="24"/>
              </w:rPr>
              <w:t xml:space="preserve">, on-road, </w:t>
            </w:r>
            <w:r w:rsidR="00B8418D">
              <w:rPr>
                <w:sz w:val="24"/>
                <w:szCs w:val="24"/>
              </w:rPr>
              <w:t>off</w:t>
            </w:r>
            <w:r w:rsidRPr="001E646E">
              <w:rPr>
                <w:sz w:val="24"/>
                <w:szCs w:val="24"/>
              </w:rPr>
              <w:t>-road, biogenic</w:t>
            </w:r>
            <w:r>
              <w:rPr>
                <w:sz w:val="24"/>
                <w:szCs w:val="24"/>
              </w:rPr>
              <w:t>,</w:t>
            </w:r>
            <w:r w:rsidRPr="001E646E">
              <w:rPr>
                <w:sz w:val="24"/>
                <w:szCs w:val="24"/>
              </w:rPr>
              <w:t xml:space="preserve"> other</w:t>
            </w:r>
            <w:r>
              <w:rPr>
                <w:sz w:val="24"/>
                <w:szCs w:val="24"/>
              </w:rPr>
              <w:t xml:space="preserve"> &amp; total</w:t>
            </w:r>
            <w:r w:rsidRPr="001E646E">
              <w:rPr>
                <w:sz w:val="24"/>
                <w:szCs w:val="24"/>
              </w:rPr>
              <w:t>)</w:t>
            </w:r>
          </w:p>
        </w:tc>
      </w:tr>
      <w:tr w:rsidR="00035462" w:rsidRPr="00380537" w14:paraId="5E00955E" w14:textId="77777777" w:rsidTr="0088290A">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954" w:type="dxa"/>
          </w:tcPr>
          <w:p w14:paraId="50B6DFD4" w14:textId="0A124388" w:rsidR="00035462" w:rsidRPr="001E646E" w:rsidRDefault="00035462" w:rsidP="00035462">
            <w:pPr>
              <w:rPr>
                <w:b w:val="0"/>
                <w:bCs w:val="0"/>
                <w:sz w:val="24"/>
                <w:szCs w:val="24"/>
              </w:rPr>
            </w:pPr>
            <w:r w:rsidRPr="001E646E">
              <w:rPr>
                <w:b w:val="0"/>
                <w:bCs w:val="0"/>
                <w:sz w:val="24"/>
                <w:szCs w:val="24"/>
              </w:rPr>
              <w:t>concentration</w:t>
            </w:r>
          </w:p>
        </w:tc>
        <w:tc>
          <w:tcPr>
            <w:tcW w:w="7741" w:type="dxa"/>
          </w:tcPr>
          <w:p w14:paraId="12B5A827" w14:textId="7014BAA3" w:rsidR="00035462" w:rsidRPr="001E646E" w:rsidRDefault="00035462" w:rsidP="00035462">
            <w:pPr>
              <w:cnfStyle w:val="000000100000" w:firstRow="0" w:lastRow="0" w:firstColumn="0" w:lastColumn="0" w:oddVBand="0" w:evenVBand="0" w:oddHBand="1" w:evenHBand="0" w:firstRowFirstColumn="0" w:firstRowLastColumn="0" w:lastRowFirstColumn="0" w:lastRowLastColumn="0"/>
              <w:rPr>
                <w:sz w:val="24"/>
                <w:szCs w:val="24"/>
              </w:rPr>
            </w:pPr>
            <w:r w:rsidRPr="001E646E">
              <w:rPr>
                <w:sz w:val="24"/>
                <w:szCs w:val="24"/>
              </w:rPr>
              <w:t xml:space="preserve">Population-weighted concentration </w:t>
            </w:r>
            <w:r>
              <w:rPr>
                <w:sz w:val="24"/>
                <w:szCs w:val="24"/>
              </w:rPr>
              <w:t xml:space="preserve">(native resolution at the census tract level) </w:t>
            </w:r>
            <w:r w:rsidRPr="001E646E">
              <w:rPr>
                <w:sz w:val="24"/>
                <w:szCs w:val="24"/>
              </w:rPr>
              <w:t xml:space="preserve">with units in </w:t>
            </w:r>
            <w:r w:rsidRPr="001E646E">
              <w:rPr>
                <w:rFonts w:cstheme="minorHAnsi"/>
                <w:sz w:val="24"/>
                <w:szCs w:val="24"/>
              </w:rPr>
              <w:t>μ</w:t>
            </w:r>
            <w:r w:rsidRPr="001E646E">
              <w:rPr>
                <w:sz w:val="24"/>
                <w:szCs w:val="24"/>
              </w:rPr>
              <w:t>g/m</w:t>
            </w:r>
            <w:r w:rsidRPr="001E646E">
              <w:rPr>
                <w:sz w:val="24"/>
                <w:szCs w:val="24"/>
                <w:vertAlign w:val="superscript"/>
              </w:rPr>
              <w:t>3</w:t>
            </w:r>
            <w:r w:rsidRPr="001E646E">
              <w:rPr>
                <w:sz w:val="24"/>
                <w:szCs w:val="24"/>
              </w:rPr>
              <w:t>.</w:t>
            </w:r>
          </w:p>
        </w:tc>
      </w:tr>
    </w:tbl>
    <w:p w14:paraId="3D39121B" w14:textId="5178618F" w:rsidR="0075497D" w:rsidRPr="00380537" w:rsidRDefault="0075497D">
      <w:pPr>
        <w:rPr>
          <w:sz w:val="24"/>
          <w:szCs w:val="24"/>
        </w:rPr>
      </w:pPr>
    </w:p>
    <w:p w14:paraId="12439D4B" w14:textId="42473DD5" w:rsidR="0075497D" w:rsidRPr="00380537" w:rsidRDefault="0075497D">
      <w:pPr>
        <w:rPr>
          <w:b/>
          <w:bCs/>
          <w:sz w:val="24"/>
          <w:szCs w:val="24"/>
        </w:rPr>
      </w:pPr>
      <w:r w:rsidRPr="00380537">
        <w:rPr>
          <w:b/>
          <w:bCs/>
          <w:sz w:val="24"/>
          <w:szCs w:val="24"/>
        </w:rPr>
        <w:t>Suggested Citations</w:t>
      </w:r>
    </w:p>
    <w:p w14:paraId="1C2E8B41" w14:textId="100E2E17" w:rsidR="0075497D" w:rsidRDefault="0075497D">
      <w:pPr>
        <w:rPr>
          <w:sz w:val="24"/>
          <w:szCs w:val="24"/>
        </w:rPr>
      </w:pPr>
      <w:r w:rsidRPr="00380537">
        <w:rPr>
          <w:sz w:val="24"/>
          <w:szCs w:val="24"/>
        </w:rPr>
        <w:t>Hernandez</w:t>
      </w:r>
      <w:r w:rsidR="00220A10" w:rsidRPr="00380537">
        <w:rPr>
          <w:sz w:val="24"/>
          <w:szCs w:val="24"/>
        </w:rPr>
        <w:t>,</w:t>
      </w:r>
      <w:r w:rsidRPr="00380537">
        <w:rPr>
          <w:sz w:val="24"/>
          <w:szCs w:val="24"/>
        </w:rPr>
        <w:t xml:space="preserve"> C</w:t>
      </w:r>
      <w:r w:rsidR="00220A10" w:rsidRPr="00380537">
        <w:rPr>
          <w:sz w:val="24"/>
          <w:szCs w:val="24"/>
        </w:rPr>
        <w:t>.</w:t>
      </w:r>
      <w:r w:rsidR="00E917CB" w:rsidRPr="00380537">
        <w:rPr>
          <w:sz w:val="24"/>
          <w:szCs w:val="24"/>
        </w:rPr>
        <w:t>,</w:t>
      </w:r>
      <w:r w:rsidRPr="00380537">
        <w:rPr>
          <w:sz w:val="24"/>
          <w:szCs w:val="24"/>
        </w:rPr>
        <w:t xml:space="preserve"> Skyllakou</w:t>
      </w:r>
      <w:r w:rsidR="00220A10" w:rsidRPr="00380537">
        <w:rPr>
          <w:sz w:val="24"/>
          <w:szCs w:val="24"/>
        </w:rPr>
        <w:t>,</w:t>
      </w:r>
      <w:r w:rsidRPr="00380537">
        <w:rPr>
          <w:sz w:val="24"/>
          <w:szCs w:val="24"/>
        </w:rPr>
        <w:t xml:space="preserve"> </w:t>
      </w:r>
      <w:r w:rsidR="00220A10" w:rsidRPr="00380537">
        <w:rPr>
          <w:sz w:val="24"/>
          <w:szCs w:val="24"/>
        </w:rPr>
        <w:t>K.</w:t>
      </w:r>
      <w:r w:rsidR="00E917CB" w:rsidRPr="00380537">
        <w:rPr>
          <w:sz w:val="24"/>
          <w:szCs w:val="24"/>
        </w:rPr>
        <w:t>,</w:t>
      </w:r>
      <w:r w:rsidRPr="00380537">
        <w:rPr>
          <w:sz w:val="24"/>
          <w:szCs w:val="24"/>
        </w:rPr>
        <w:t xml:space="preserve"> Garcia Rivera</w:t>
      </w:r>
      <w:r w:rsidR="00220A10" w:rsidRPr="00380537">
        <w:rPr>
          <w:sz w:val="24"/>
          <w:szCs w:val="24"/>
        </w:rPr>
        <w:t>,</w:t>
      </w:r>
      <w:r w:rsidRPr="00380537">
        <w:rPr>
          <w:sz w:val="24"/>
          <w:szCs w:val="24"/>
        </w:rPr>
        <w:t xml:space="preserve"> P</w:t>
      </w:r>
      <w:r w:rsidR="00220A10" w:rsidRPr="00380537">
        <w:rPr>
          <w:sz w:val="24"/>
          <w:szCs w:val="24"/>
        </w:rPr>
        <w:t>.</w:t>
      </w:r>
      <w:r w:rsidR="00E917CB" w:rsidRPr="00380537">
        <w:rPr>
          <w:sz w:val="24"/>
          <w:szCs w:val="24"/>
        </w:rPr>
        <w:t>,</w:t>
      </w:r>
      <w:r w:rsidRPr="00380537">
        <w:rPr>
          <w:sz w:val="24"/>
          <w:szCs w:val="24"/>
        </w:rPr>
        <w:t xml:space="preserve"> Dinkelacker</w:t>
      </w:r>
      <w:r w:rsidR="00220A10" w:rsidRPr="00380537">
        <w:rPr>
          <w:sz w:val="24"/>
          <w:szCs w:val="24"/>
        </w:rPr>
        <w:t>,</w:t>
      </w:r>
      <w:r w:rsidRPr="00380537">
        <w:rPr>
          <w:sz w:val="24"/>
          <w:szCs w:val="24"/>
        </w:rPr>
        <w:t xml:space="preserve"> B</w:t>
      </w:r>
      <w:r w:rsidR="00220A10" w:rsidRPr="00380537">
        <w:rPr>
          <w:sz w:val="24"/>
          <w:szCs w:val="24"/>
        </w:rPr>
        <w:t>.</w:t>
      </w:r>
      <w:r w:rsidR="00E917CB" w:rsidRPr="00380537">
        <w:rPr>
          <w:sz w:val="24"/>
          <w:szCs w:val="24"/>
        </w:rPr>
        <w:t>,</w:t>
      </w:r>
      <w:r w:rsidRPr="00380537">
        <w:rPr>
          <w:sz w:val="24"/>
          <w:szCs w:val="24"/>
        </w:rPr>
        <w:t xml:space="preserve"> Marshall</w:t>
      </w:r>
      <w:r w:rsidR="00220A10" w:rsidRPr="00380537">
        <w:rPr>
          <w:sz w:val="24"/>
          <w:szCs w:val="24"/>
        </w:rPr>
        <w:t>,</w:t>
      </w:r>
      <w:r w:rsidRPr="00380537">
        <w:rPr>
          <w:sz w:val="24"/>
          <w:szCs w:val="24"/>
        </w:rPr>
        <w:t xml:space="preserve"> J</w:t>
      </w:r>
      <w:r w:rsidR="00220A10" w:rsidRPr="00380537">
        <w:rPr>
          <w:sz w:val="24"/>
          <w:szCs w:val="24"/>
        </w:rPr>
        <w:t>.</w:t>
      </w:r>
      <w:r w:rsidR="00E917CB" w:rsidRPr="00380537">
        <w:rPr>
          <w:sz w:val="24"/>
          <w:szCs w:val="24"/>
        </w:rPr>
        <w:t>,</w:t>
      </w:r>
      <w:r w:rsidRPr="00380537">
        <w:rPr>
          <w:sz w:val="24"/>
          <w:szCs w:val="24"/>
        </w:rPr>
        <w:t xml:space="preserve"> Pope</w:t>
      </w:r>
      <w:r w:rsidR="00220A10" w:rsidRPr="00380537">
        <w:rPr>
          <w:sz w:val="24"/>
          <w:szCs w:val="24"/>
        </w:rPr>
        <w:t>,</w:t>
      </w:r>
      <w:r w:rsidRPr="00380537">
        <w:rPr>
          <w:sz w:val="24"/>
          <w:szCs w:val="24"/>
        </w:rPr>
        <w:t xml:space="preserve"> A</w:t>
      </w:r>
      <w:r w:rsidR="00220A10" w:rsidRPr="00380537">
        <w:rPr>
          <w:sz w:val="24"/>
          <w:szCs w:val="24"/>
        </w:rPr>
        <w:t>.</w:t>
      </w:r>
      <w:r w:rsidR="00E917CB" w:rsidRPr="00380537">
        <w:rPr>
          <w:sz w:val="24"/>
          <w:szCs w:val="24"/>
        </w:rPr>
        <w:t>,</w:t>
      </w:r>
      <w:r w:rsidRPr="00380537">
        <w:rPr>
          <w:sz w:val="24"/>
          <w:szCs w:val="24"/>
        </w:rPr>
        <w:t xml:space="preserve"> </w:t>
      </w:r>
      <w:r w:rsidR="00E917CB" w:rsidRPr="00380537">
        <w:rPr>
          <w:sz w:val="24"/>
          <w:szCs w:val="24"/>
        </w:rPr>
        <w:t>Robinson, A., Pandis, S., &amp; Adams, P</w:t>
      </w:r>
      <w:r w:rsidRPr="00380537">
        <w:rPr>
          <w:sz w:val="24"/>
          <w:szCs w:val="24"/>
        </w:rPr>
        <w:t>.</w:t>
      </w:r>
      <w:r w:rsidR="00E917CB" w:rsidRPr="00380537">
        <w:rPr>
          <w:sz w:val="24"/>
          <w:szCs w:val="24"/>
        </w:rPr>
        <w:t xml:space="preserve"> (2021)</w:t>
      </w:r>
      <w:r w:rsidRPr="00380537">
        <w:rPr>
          <w:sz w:val="24"/>
          <w:szCs w:val="24"/>
        </w:rPr>
        <w:t xml:space="preserve"> Bias corrections for speciated and source-resolved PM2.5 chemical transport model simulations using a geographically weighted regression. </w:t>
      </w:r>
      <w:proofErr w:type="spellStart"/>
      <w:r w:rsidRPr="00380537">
        <w:rPr>
          <w:sz w:val="24"/>
          <w:szCs w:val="24"/>
        </w:rPr>
        <w:t>ChemRxiv</w:t>
      </w:r>
      <w:proofErr w:type="spellEnd"/>
      <w:r w:rsidRPr="00380537">
        <w:rPr>
          <w:sz w:val="24"/>
          <w:szCs w:val="24"/>
        </w:rPr>
        <w:t xml:space="preserve">. Cambridge: Cambridge Open Engage; This content is a preprint and has not been peer-reviewed. </w:t>
      </w:r>
      <w:hyperlink r:id="rId5" w:history="1">
        <w:r w:rsidR="00E044EB" w:rsidRPr="009429DF">
          <w:rPr>
            <w:rStyle w:val="Hyperlink"/>
            <w:sz w:val="24"/>
            <w:szCs w:val="24"/>
          </w:rPr>
          <w:t>https://doi.org/10.26434/chemrxiv-2021-h71p5</w:t>
        </w:r>
      </w:hyperlink>
      <w:r w:rsidR="00E917CB" w:rsidRPr="00380537">
        <w:rPr>
          <w:sz w:val="24"/>
          <w:szCs w:val="24"/>
        </w:rPr>
        <w:t>.</w:t>
      </w:r>
    </w:p>
    <w:p w14:paraId="472C46CA" w14:textId="461B1EDF" w:rsidR="00E044EB" w:rsidRDefault="00E044EB" w:rsidP="00E044EB">
      <w:pPr>
        <w:rPr>
          <w:sz w:val="24"/>
          <w:szCs w:val="24"/>
        </w:rPr>
      </w:pPr>
      <w:r w:rsidRPr="00380537">
        <w:rPr>
          <w:sz w:val="24"/>
          <w:szCs w:val="24"/>
        </w:rPr>
        <w:t xml:space="preserve">Skyllakou, K., Rivera, P. G., Dinkelacker, B., </w:t>
      </w:r>
      <w:proofErr w:type="spellStart"/>
      <w:r w:rsidRPr="00380537">
        <w:rPr>
          <w:sz w:val="24"/>
          <w:szCs w:val="24"/>
        </w:rPr>
        <w:t>Karnezi</w:t>
      </w:r>
      <w:proofErr w:type="spellEnd"/>
      <w:r w:rsidRPr="00380537">
        <w:rPr>
          <w:sz w:val="24"/>
          <w:szCs w:val="24"/>
        </w:rPr>
        <w:t xml:space="preserve">, E., </w:t>
      </w:r>
      <w:proofErr w:type="spellStart"/>
      <w:r w:rsidRPr="00380537">
        <w:rPr>
          <w:sz w:val="24"/>
          <w:szCs w:val="24"/>
        </w:rPr>
        <w:t>Kioutsioukis</w:t>
      </w:r>
      <w:proofErr w:type="spellEnd"/>
      <w:r w:rsidRPr="00380537">
        <w:rPr>
          <w:sz w:val="24"/>
          <w:szCs w:val="24"/>
        </w:rPr>
        <w:t xml:space="preserve">, I., Hernandez, C., Adams, P. J., &amp; Pandis, S. N. (2021). Changes in PM2.5 concentrations and their sources in the US from 1990 to 2010. Atmospheric Chemistry and Physics, 21(22), 17115–17132. </w:t>
      </w:r>
      <w:hyperlink r:id="rId6" w:history="1">
        <w:r w:rsidRPr="009429DF">
          <w:rPr>
            <w:rStyle w:val="Hyperlink"/>
            <w:sz w:val="24"/>
            <w:szCs w:val="24"/>
          </w:rPr>
          <w:t>https://doi.org/10.5194/acp-21-17115-2021</w:t>
        </w:r>
      </w:hyperlink>
    </w:p>
    <w:p w14:paraId="2AFB9EB1" w14:textId="77777777" w:rsidR="00E044EB" w:rsidRPr="00380537" w:rsidRDefault="00E044EB" w:rsidP="00E044EB">
      <w:pPr>
        <w:rPr>
          <w:sz w:val="24"/>
          <w:szCs w:val="24"/>
        </w:rPr>
      </w:pPr>
    </w:p>
    <w:p w14:paraId="3FE172E2" w14:textId="77777777" w:rsidR="00E044EB" w:rsidRPr="00380537" w:rsidRDefault="00E044EB">
      <w:pPr>
        <w:rPr>
          <w:sz w:val="24"/>
          <w:szCs w:val="24"/>
        </w:rPr>
      </w:pPr>
    </w:p>
    <w:sectPr w:rsidR="00E044EB" w:rsidRPr="00380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46"/>
    <w:rsid w:val="00035462"/>
    <w:rsid w:val="0007649C"/>
    <w:rsid w:val="00087F89"/>
    <w:rsid w:val="000D420E"/>
    <w:rsid w:val="000E752E"/>
    <w:rsid w:val="00110A67"/>
    <w:rsid w:val="0013172F"/>
    <w:rsid w:val="00193508"/>
    <w:rsid w:val="001D1175"/>
    <w:rsid w:val="001E646E"/>
    <w:rsid w:val="00220A10"/>
    <w:rsid w:val="00224842"/>
    <w:rsid w:val="00277EB9"/>
    <w:rsid w:val="002B4583"/>
    <w:rsid w:val="003564B0"/>
    <w:rsid w:val="00380537"/>
    <w:rsid w:val="00401B46"/>
    <w:rsid w:val="0046585C"/>
    <w:rsid w:val="004D475C"/>
    <w:rsid w:val="00582497"/>
    <w:rsid w:val="00614EF4"/>
    <w:rsid w:val="006C2D11"/>
    <w:rsid w:val="0075497D"/>
    <w:rsid w:val="007A7E31"/>
    <w:rsid w:val="00824A23"/>
    <w:rsid w:val="00880712"/>
    <w:rsid w:val="0088290A"/>
    <w:rsid w:val="00B17F66"/>
    <w:rsid w:val="00B8418D"/>
    <w:rsid w:val="00B9345C"/>
    <w:rsid w:val="00BC434B"/>
    <w:rsid w:val="00C01D15"/>
    <w:rsid w:val="00C74AAE"/>
    <w:rsid w:val="00CB2F88"/>
    <w:rsid w:val="00CF1E1C"/>
    <w:rsid w:val="00D02669"/>
    <w:rsid w:val="00D36CF6"/>
    <w:rsid w:val="00D77E99"/>
    <w:rsid w:val="00DA7C82"/>
    <w:rsid w:val="00E044EB"/>
    <w:rsid w:val="00E32644"/>
    <w:rsid w:val="00E34853"/>
    <w:rsid w:val="00E70799"/>
    <w:rsid w:val="00E80C4B"/>
    <w:rsid w:val="00E917CB"/>
    <w:rsid w:val="00EB283F"/>
    <w:rsid w:val="00F17E88"/>
    <w:rsid w:val="00F17F51"/>
    <w:rsid w:val="00F4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AE3F"/>
  <w15:chartTrackingRefBased/>
  <w15:docId w15:val="{64F0298A-312F-48EA-9404-EF424DBF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D77E9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E044EB"/>
    <w:rPr>
      <w:color w:val="0563C1" w:themeColor="hyperlink"/>
      <w:u w:val="single"/>
    </w:rPr>
  </w:style>
  <w:style w:type="character" w:styleId="UnresolvedMention">
    <w:name w:val="Unresolved Mention"/>
    <w:basedOn w:val="DefaultParagraphFont"/>
    <w:uiPriority w:val="99"/>
    <w:semiHidden/>
    <w:unhideWhenUsed/>
    <w:rsid w:val="00E0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27165">
      <w:bodyDiv w:val="1"/>
      <w:marLeft w:val="0"/>
      <w:marRight w:val="0"/>
      <w:marTop w:val="0"/>
      <w:marBottom w:val="0"/>
      <w:divBdr>
        <w:top w:val="none" w:sz="0" w:space="0" w:color="auto"/>
        <w:left w:val="none" w:sz="0" w:space="0" w:color="auto"/>
        <w:bottom w:val="none" w:sz="0" w:space="0" w:color="auto"/>
        <w:right w:val="none" w:sz="0" w:space="0" w:color="auto"/>
      </w:divBdr>
      <w:divsChild>
        <w:div w:id="704452197">
          <w:marLeft w:val="480"/>
          <w:marRight w:val="0"/>
          <w:marTop w:val="0"/>
          <w:marBottom w:val="0"/>
          <w:divBdr>
            <w:top w:val="none" w:sz="0" w:space="0" w:color="auto"/>
            <w:left w:val="none" w:sz="0" w:space="0" w:color="auto"/>
            <w:bottom w:val="none" w:sz="0" w:space="0" w:color="auto"/>
            <w:right w:val="none" w:sz="0" w:space="0" w:color="auto"/>
          </w:divBdr>
          <w:divsChild>
            <w:div w:id="742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7308">
      <w:bodyDiv w:val="1"/>
      <w:marLeft w:val="0"/>
      <w:marRight w:val="0"/>
      <w:marTop w:val="0"/>
      <w:marBottom w:val="0"/>
      <w:divBdr>
        <w:top w:val="none" w:sz="0" w:space="0" w:color="auto"/>
        <w:left w:val="none" w:sz="0" w:space="0" w:color="auto"/>
        <w:bottom w:val="none" w:sz="0" w:space="0" w:color="auto"/>
        <w:right w:val="none" w:sz="0" w:space="0" w:color="auto"/>
      </w:divBdr>
      <w:divsChild>
        <w:div w:id="2079085230">
          <w:marLeft w:val="0"/>
          <w:marRight w:val="0"/>
          <w:marTop w:val="0"/>
          <w:marBottom w:val="0"/>
          <w:divBdr>
            <w:top w:val="none" w:sz="0" w:space="0" w:color="auto"/>
            <w:left w:val="none" w:sz="0" w:space="0" w:color="auto"/>
            <w:bottom w:val="none" w:sz="0" w:space="0" w:color="auto"/>
            <w:right w:val="none" w:sz="0" w:space="0" w:color="auto"/>
          </w:divBdr>
          <w:divsChild>
            <w:div w:id="309678282">
              <w:marLeft w:val="0"/>
              <w:marRight w:val="0"/>
              <w:marTop w:val="0"/>
              <w:marBottom w:val="0"/>
              <w:divBdr>
                <w:top w:val="none" w:sz="0" w:space="0" w:color="auto"/>
                <w:left w:val="none" w:sz="0" w:space="0" w:color="auto"/>
                <w:bottom w:val="none" w:sz="0" w:space="0" w:color="auto"/>
                <w:right w:val="none" w:sz="0" w:space="0" w:color="auto"/>
              </w:divBdr>
              <w:divsChild>
                <w:div w:id="1489975917">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81572658">
      <w:bodyDiv w:val="1"/>
      <w:marLeft w:val="0"/>
      <w:marRight w:val="0"/>
      <w:marTop w:val="0"/>
      <w:marBottom w:val="0"/>
      <w:divBdr>
        <w:top w:val="none" w:sz="0" w:space="0" w:color="auto"/>
        <w:left w:val="none" w:sz="0" w:space="0" w:color="auto"/>
        <w:bottom w:val="none" w:sz="0" w:space="0" w:color="auto"/>
        <w:right w:val="none" w:sz="0" w:space="0" w:color="auto"/>
      </w:divBdr>
      <w:divsChild>
        <w:div w:id="15711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194/acp-21-17115-2021" TargetMode="External"/><Relationship Id="rId5" Type="http://schemas.openxmlformats.org/officeDocument/2006/relationships/hyperlink" Target="https://doi.org/10.26434/chemrxiv-2021-h71p5" TargetMode="External"/><Relationship Id="rId4" Type="http://schemas.openxmlformats.org/officeDocument/2006/relationships/hyperlink" Target="mailto:peteradams@c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1352</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Hernandez</dc:creator>
  <cp:keywords/>
  <dc:description/>
  <cp:lastModifiedBy>Julian Marshall</cp:lastModifiedBy>
  <cp:revision>22</cp:revision>
  <dcterms:created xsi:type="dcterms:W3CDTF">2021-10-13T15:43:00Z</dcterms:created>
  <dcterms:modified xsi:type="dcterms:W3CDTF">2022-12-07T16:22:00Z</dcterms:modified>
</cp:coreProperties>
</file>